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Muro das Emoções"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Uma dinâmica visual e coletiva onde os participantes escrevem emoções que sentiram recentemente e colocam-nas num mural. Depois, são agrupados por semelhança e refletem sobre o que é partilhado.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visível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diversidade emocional do grupo.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Promover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empatia emocional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ao reconhecer o que os outros estão a sentir.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Gerar 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espaço de validação e ligação.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a auto expressão emocional.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Reconhecer as emoções dos outros é fundamental para a empatia. Esta ferramenta permite: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Praticar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leitura emocional coletiva.</w:t>
              <w:br w:type="textWrapping"/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Validar emoções sem julgamento.</w:t>
              <w:br w:type="textWrapping"/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Descobrir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pontos de ligação emocional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entre diferentes pessoas.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Post-its ou cartões coloridos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 Etiquetas autocolantes</w:t>
            </w:r>
          </w:p>
          <w:p w:rsidR="00000000" w:rsidDel="00000000" w:rsidP="00000000" w:rsidRDefault="00000000" w:rsidRPr="00000000" w14:paraId="00000013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 Pôster grande ou parede para o mural</w:t>
              <w:br w:type="textWrapping"/>
              <w:br w:type="textWrapping"/>
              <w:t xml:space="preserve">  Música suave para criar ambiente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Cada pessoa escreve 1–3 emoções que sentiu recentemente.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São colocadas no mural sem nomes.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O grupo observa e agrupa por semelhança.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Reflexão: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0" w:afterAutospacing="0" w:before="24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emoções predominam?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me surpreendeu?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me liga ao que os outros sentem?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Fecha-se com uma frase coletiva: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"Hoje o grupo sentiu..."</w:t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6)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vertAlign w:val="baseline"/>
                <w:rtl w:val="0"/>
              </w:rPr>
              <w:t xml:space="preserve">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 empatia começa por reconhecer o que o outro sente.</w:t>
              <w:br w:type="textWrapping"/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after="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partilhar emoções gera ligação e confiança.</w:t>
              <w:br w:type="textWrapping"/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after="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 diversidade emocional é riqueza, não ameaça.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https://realitypathing.com/10-interactive-activities-for-engaging-empathy-sessions/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https://symondsresearch.com/empathy-training-activities-workplace/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4381500</wp:posOffset>
              </wp:positionH>
              <wp:positionV relativeFrom="paragraph">
                <wp:posOffset>-400049</wp:posOffset>
              </wp:positionV>
              <wp:extent cx="1814513" cy="111442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68" y="3505363"/>
                        <a:ext cx="1761464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Empatia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4381500</wp:posOffset>
              </wp:positionH>
              <wp:positionV relativeFrom="paragraph">
                <wp:posOffset>-400049</wp:posOffset>
              </wp:positionV>
              <wp:extent cx="1814513" cy="111442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14513" cy="1114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ealitypathing.com/10-interactive-activities-for-engaging-empathy-sessions/" TargetMode="External"/><Relationship Id="rId8" Type="http://schemas.openxmlformats.org/officeDocument/2006/relationships/hyperlink" Target="https://symondsresearch.com/empathy-training-activities-workplace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4.jpg"/><Relationship Id="rId3" Type="http://schemas.openxmlformats.org/officeDocument/2006/relationships/image" Target="media/image7.png"/><Relationship Id="rId4" Type="http://schemas.openxmlformats.org/officeDocument/2006/relationships/image" Target="media/image11.png"/><Relationship Id="rId5" Type="http://schemas.openxmlformats.org/officeDocument/2006/relationships/image" Target="media/image13.png"/><Relationship Id="rId6" Type="http://schemas.openxmlformats.org/officeDocument/2006/relationships/image" Target="media/image15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Laqd1Ox6DiqcgKodHKcXT1ssgQ==">CgMxLjA4AHIhMWE0c045Z0NycUxQSnVMX0V5YlhvU2VEeUIzeEtqVXF1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2025-11-06T10:21:00Z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